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Sagard+the+Barbarian"/>
    <w:p w:rsidR="000E01DF" w:rsidRPr="000E01DF" w:rsidRDefault="000E01DF" w:rsidP="000E01DF">
      <w:pPr>
        <w:spacing w:after="0" w:line="240" w:lineRule="auto"/>
        <w:rPr>
          <w:rFonts w:ascii="Trebuchet MS" w:eastAsia="Times New Roman" w:hAnsi="Trebuchet MS" w:cs="Times New Roman"/>
          <w:color w:val="6B6B6B"/>
          <w:sz w:val="21"/>
          <w:szCs w:val="21"/>
          <w:shd w:val="clear" w:color="auto" w:fill="DDD6B9"/>
        </w:rPr>
      </w:pPr>
      <w:r w:rsidRPr="000E01D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E01D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"http://www.abandonia.com/fr/node/26162?b=Sagard+the+Barbarian" \l "Sagard+the+Barbarian" </w:instrText>
      </w:r>
      <w:r w:rsidRPr="000E01D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0E01DF" w:rsidRPr="000E01DF" w:rsidRDefault="000E01DF" w:rsidP="000E01D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B3A3A"/>
          <w:sz w:val="27"/>
          <w:szCs w:val="27"/>
        </w:rPr>
      </w:pPr>
      <w:proofErr w:type="spellStart"/>
      <w:r w:rsidRPr="000E01DF">
        <w:rPr>
          <w:rFonts w:ascii="Trebuchet MS" w:eastAsia="Times New Roman" w:hAnsi="Trebuchet MS" w:cs="Times New Roman"/>
          <w:b/>
          <w:bCs/>
          <w:color w:val="8B3A3A"/>
          <w:sz w:val="27"/>
          <w:szCs w:val="27"/>
          <w:shd w:val="clear" w:color="auto" w:fill="DDD6B9"/>
        </w:rPr>
        <w:t>Sagard</w:t>
      </w:r>
      <w:proofErr w:type="spellEnd"/>
      <w:r w:rsidRPr="000E01DF">
        <w:rPr>
          <w:rFonts w:ascii="Trebuchet MS" w:eastAsia="Times New Roman" w:hAnsi="Trebuchet MS" w:cs="Times New Roman"/>
          <w:b/>
          <w:bCs/>
          <w:color w:val="8B3A3A"/>
          <w:sz w:val="27"/>
          <w:szCs w:val="27"/>
          <w:shd w:val="clear" w:color="auto" w:fill="DDD6B9"/>
        </w:rPr>
        <w:t xml:space="preserve"> </w:t>
      </w:r>
      <w:proofErr w:type="spellStart"/>
      <w:r w:rsidRPr="000E01DF">
        <w:rPr>
          <w:rFonts w:ascii="Trebuchet MS" w:eastAsia="Times New Roman" w:hAnsi="Trebuchet MS" w:cs="Times New Roman"/>
          <w:b/>
          <w:bCs/>
          <w:color w:val="8B3A3A"/>
          <w:sz w:val="27"/>
          <w:szCs w:val="27"/>
          <w:shd w:val="clear" w:color="auto" w:fill="DDD6B9"/>
        </w:rPr>
        <w:t>the</w:t>
      </w:r>
      <w:proofErr w:type="spellEnd"/>
      <w:r w:rsidRPr="000E01DF">
        <w:rPr>
          <w:rFonts w:ascii="Trebuchet MS" w:eastAsia="Times New Roman" w:hAnsi="Trebuchet MS" w:cs="Times New Roman"/>
          <w:b/>
          <w:bCs/>
          <w:color w:val="8B3A3A"/>
          <w:sz w:val="27"/>
          <w:szCs w:val="27"/>
          <w:shd w:val="clear" w:color="auto" w:fill="DDD6B9"/>
        </w:rPr>
        <w:t xml:space="preserve"> </w:t>
      </w:r>
      <w:proofErr w:type="spellStart"/>
      <w:r w:rsidRPr="000E01DF">
        <w:rPr>
          <w:rFonts w:ascii="Trebuchet MS" w:eastAsia="Times New Roman" w:hAnsi="Trebuchet MS" w:cs="Times New Roman"/>
          <w:b/>
          <w:bCs/>
          <w:color w:val="8B3A3A"/>
          <w:sz w:val="27"/>
          <w:szCs w:val="27"/>
          <w:shd w:val="clear" w:color="auto" w:fill="DDD6B9"/>
        </w:rPr>
        <w:t>Barbarian</w:t>
      </w:r>
      <w:proofErr w:type="spellEnd"/>
    </w:p>
    <w:p w:rsidR="000E01DF" w:rsidRPr="000E01DF" w:rsidRDefault="000E01DF" w:rsidP="000E01DF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DDD6B9"/>
        </w:rPr>
      </w:pPr>
      <w:r w:rsidRPr="000E01D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0"/>
    </w:p>
    <w:tbl>
      <w:tblPr>
        <w:tblW w:w="0" w:type="auto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06"/>
        <w:gridCol w:w="1880"/>
        <w:gridCol w:w="1867"/>
        <w:gridCol w:w="1787"/>
      </w:tblGrid>
      <w:tr w:rsidR="000E01DF" w:rsidRPr="000E01DF" w:rsidTr="000E01DF">
        <w:trPr>
          <w:jc w:val="center"/>
        </w:trPr>
        <w:tc>
          <w:tcPr>
            <w:tcW w:w="0" w:type="auto"/>
            <w:hideMark/>
          </w:tcPr>
          <w:p w:rsidR="000E01DF" w:rsidRPr="000E01DF" w:rsidRDefault="000E01DF" w:rsidP="000E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0E01DF">
                <w:rPr>
                  <w:rFonts w:ascii="Times New Roman" w:eastAsia="Times New Roman" w:hAnsi="Times New Roman" w:cs="Times New Roman"/>
                  <w:noProof/>
                  <w:color w:val="6B6B6B"/>
                  <w:sz w:val="24"/>
                  <w:szCs w:val="24"/>
                </w:rPr>
                <w:drawing>
                  <wp:inline distT="0" distB="0" distL="0" distR="0">
                    <wp:extent cx="914400" cy="1553845"/>
                    <wp:effectExtent l="0" t="0" r="0" b="8255"/>
                    <wp:docPr id="4" name="Imagen 4" descr="Sagard the Barbarian 1 - The Ice Dragon">
                      <a:hlinkClick xmlns:a="http://schemas.openxmlformats.org/drawingml/2006/main" r:id="rId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Sagard the Barbarian 1 - The Ice Dragon">
                              <a:hlinkClick r:id="rId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14400" cy="1553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E01DF">
                <w:rPr>
                  <w:rFonts w:ascii="Times New Roman" w:eastAsia="Times New Roman" w:hAnsi="Times New Roman" w:cs="Times New Roman"/>
                  <w:color w:val="6B6B6B"/>
                  <w:sz w:val="24"/>
                  <w:szCs w:val="24"/>
                </w:rPr>
                <w:br/>
              </w:r>
              <w:proofErr w:type="spellStart"/>
              <w:r w:rsidRPr="000E01DF">
                <w:rPr>
                  <w:rFonts w:ascii="Times New Roman" w:eastAsia="Times New Roman" w:hAnsi="Times New Roman" w:cs="Times New Roman"/>
                  <w:color w:val="6B6B6B"/>
                  <w:sz w:val="24"/>
                  <w:szCs w:val="24"/>
                </w:rPr>
                <w:t>The</w:t>
              </w:r>
              <w:proofErr w:type="spellEnd"/>
              <w:r w:rsidRPr="000E01DF">
                <w:rPr>
                  <w:rFonts w:ascii="Times New Roman" w:eastAsia="Times New Roman" w:hAnsi="Times New Roman" w:cs="Times New Roman"/>
                  <w:color w:val="6B6B6B"/>
                  <w:sz w:val="24"/>
                  <w:szCs w:val="24"/>
                </w:rPr>
                <w:t xml:space="preserve"> Ice Dragon</w:t>
              </w:r>
            </w:hyperlink>
          </w:p>
        </w:tc>
        <w:tc>
          <w:tcPr>
            <w:tcW w:w="0" w:type="auto"/>
            <w:hideMark/>
          </w:tcPr>
          <w:p w:rsidR="000E01DF" w:rsidRPr="000E01DF" w:rsidRDefault="000E01DF" w:rsidP="000E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0E01DF">
                <w:rPr>
                  <w:rFonts w:ascii="Times New Roman" w:eastAsia="Times New Roman" w:hAnsi="Times New Roman" w:cs="Times New Roman"/>
                  <w:noProof/>
                  <w:color w:val="6B6B6B"/>
                  <w:sz w:val="24"/>
                  <w:szCs w:val="24"/>
                </w:rPr>
                <w:drawing>
                  <wp:inline distT="0" distB="0" distL="0" distR="0">
                    <wp:extent cx="930275" cy="1553845"/>
                    <wp:effectExtent l="0" t="0" r="3175" b="8255"/>
                    <wp:docPr id="3" name="Imagen 3" descr="Sagard the Barbarian 2 - The Green Hydra">
                      <a:hlinkClick xmlns:a="http://schemas.openxmlformats.org/drawingml/2006/main" r:id="rId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Sagard the Barbarian 2 - The Green Hydra">
                              <a:hlinkClick r:id="rId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30275" cy="1553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E01DF">
                <w:rPr>
                  <w:rFonts w:ascii="Times New Roman" w:eastAsia="Times New Roman" w:hAnsi="Times New Roman" w:cs="Times New Roman"/>
                  <w:color w:val="6B6B6B"/>
                  <w:sz w:val="24"/>
                  <w:szCs w:val="24"/>
                </w:rPr>
                <w:br/>
              </w:r>
              <w:proofErr w:type="spellStart"/>
              <w:r w:rsidRPr="000E01DF">
                <w:rPr>
                  <w:rFonts w:ascii="Times New Roman" w:eastAsia="Times New Roman" w:hAnsi="Times New Roman" w:cs="Times New Roman"/>
                  <w:color w:val="6B6B6B"/>
                  <w:sz w:val="24"/>
                  <w:szCs w:val="24"/>
                </w:rPr>
                <w:t>The</w:t>
              </w:r>
              <w:proofErr w:type="spellEnd"/>
              <w:r w:rsidRPr="000E01DF">
                <w:rPr>
                  <w:rFonts w:ascii="Times New Roman" w:eastAsia="Times New Roman" w:hAnsi="Times New Roman" w:cs="Times New Roman"/>
                  <w:color w:val="6B6B6B"/>
                  <w:sz w:val="24"/>
                  <w:szCs w:val="24"/>
                </w:rPr>
                <w:t xml:space="preserve"> Green Hydra</w:t>
              </w:r>
            </w:hyperlink>
          </w:p>
        </w:tc>
        <w:tc>
          <w:tcPr>
            <w:tcW w:w="0" w:type="auto"/>
            <w:hideMark/>
          </w:tcPr>
          <w:p w:rsidR="000E01DF" w:rsidRPr="000E01DF" w:rsidRDefault="000E01DF" w:rsidP="000E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0E01DF">
                <w:rPr>
                  <w:rFonts w:ascii="Times New Roman" w:eastAsia="Times New Roman" w:hAnsi="Times New Roman" w:cs="Times New Roman"/>
                  <w:noProof/>
                  <w:color w:val="6B6B6B"/>
                  <w:sz w:val="24"/>
                  <w:szCs w:val="24"/>
                </w:rPr>
                <w:drawing>
                  <wp:inline distT="0" distB="0" distL="0" distR="0">
                    <wp:extent cx="930275" cy="1553845"/>
                    <wp:effectExtent l="0" t="0" r="3175" b="8255"/>
                    <wp:docPr id="2" name="Imagen 2" descr="Sagard the Barbarian 3 - The Crimson Sea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Sagard the Barbarian 3 - The Crimson Sea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30275" cy="1553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E01DF">
                <w:rPr>
                  <w:rFonts w:ascii="Times New Roman" w:eastAsia="Times New Roman" w:hAnsi="Times New Roman" w:cs="Times New Roman"/>
                  <w:color w:val="6B6B6B"/>
                  <w:sz w:val="24"/>
                  <w:szCs w:val="24"/>
                </w:rPr>
                <w:br/>
              </w:r>
              <w:proofErr w:type="spellStart"/>
              <w:r w:rsidRPr="000E01DF">
                <w:rPr>
                  <w:rFonts w:ascii="Times New Roman" w:eastAsia="Times New Roman" w:hAnsi="Times New Roman" w:cs="Times New Roman"/>
                  <w:color w:val="6B6B6B"/>
                  <w:sz w:val="24"/>
                  <w:szCs w:val="24"/>
                </w:rPr>
                <w:t>The</w:t>
              </w:r>
              <w:proofErr w:type="spellEnd"/>
              <w:r w:rsidRPr="000E01DF">
                <w:rPr>
                  <w:rFonts w:ascii="Times New Roman" w:eastAsia="Times New Roman" w:hAnsi="Times New Roman" w:cs="Times New Roman"/>
                  <w:color w:val="6B6B6B"/>
                  <w:sz w:val="24"/>
                  <w:szCs w:val="24"/>
                </w:rPr>
                <w:t xml:space="preserve"> </w:t>
              </w:r>
              <w:proofErr w:type="spellStart"/>
              <w:r w:rsidRPr="000E01DF">
                <w:rPr>
                  <w:rFonts w:ascii="Times New Roman" w:eastAsia="Times New Roman" w:hAnsi="Times New Roman" w:cs="Times New Roman"/>
                  <w:color w:val="6B6B6B"/>
                  <w:sz w:val="24"/>
                  <w:szCs w:val="24"/>
                </w:rPr>
                <w:t>Crimson</w:t>
              </w:r>
              <w:proofErr w:type="spellEnd"/>
              <w:r w:rsidRPr="000E01DF">
                <w:rPr>
                  <w:rFonts w:ascii="Times New Roman" w:eastAsia="Times New Roman" w:hAnsi="Times New Roman" w:cs="Times New Roman"/>
                  <w:color w:val="6B6B6B"/>
                  <w:sz w:val="24"/>
                  <w:szCs w:val="24"/>
                </w:rPr>
                <w:t xml:space="preserve"> Sea</w:t>
              </w:r>
            </w:hyperlink>
          </w:p>
        </w:tc>
        <w:tc>
          <w:tcPr>
            <w:tcW w:w="0" w:type="auto"/>
            <w:hideMark/>
          </w:tcPr>
          <w:p w:rsidR="000E01DF" w:rsidRPr="000E01DF" w:rsidRDefault="000E01DF" w:rsidP="000E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0E01DF">
                <w:rPr>
                  <w:rFonts w:ascii="Times New Roman" w:eastAsia="Times New Roman" w:hAnsi="Times New Roman" w:cs="Times New Roman"/>
                  <w:noProof/>
                  <w:color w:val="6B6B6B"/>
                  <w:sz w:val="24"/>
                  <w:szCs w:val="24"/>
                </w:rPr>
                <w:drawing>
                  <wp:inline distT="0" distB="0" distL="0" distR="0">
                    <wp:extent cx="914400" cy="1553845"/>
                    <wp:effectExtent l="0" t="0" r="0" b="8255"/>
                    <wp:docPr id="1" name="Imagen 1" descr="Sagard the Barbarian 4 - The Fire Demon">
                      <a:hlinkClick xmlns:a="http://schemas.openxmlformats.org/drawingml/2006/main" r:id="rId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Sagard the Barbarian 4 - The Fire Demon">
                              <a:hlinkClick r:id="rId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14400" cy="1553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E01DF">
                <w:rPr>
                  <w:rFonts w:ascii="Times New Roman" w:eastAsia="Times New Roman" w:hAnsi="Times New Roman" w:cs="Times New Roman"/>
                  <w:color w:val="6B6B6B"/>
                  <w:sz w:val="24"/>
                  <w:szCs w:val="24"/>
                </w:rPr>
                <w:br/>
              </w:r>
              <w:proofErr w:type="spellStart"/>
              <w:r w:rsidRPr="000E01DF">
                <w:rPr>
                  <w:rFonts w:ascii="Times New Roman" w:eastAsia="Times New Roman" w:hAnsi="Times New Roman" w:cs="Times New Roman"/>
                  <w:color w:val="6B6B6B"/>
                  <w:sz w:val="24"/>
                  <w:szCs w:val="24"/>
                </w:rPr>
                <w:t>The</w:t>
              </w:r>
              <w:proofErr w:type="spellEnd"/>
              <w:r w:rsidRPr="000E01DF">
                <w:rPr>
                  <w:rFonts w:ascii="Times New Roman" w:eastAsia="Times New Roman" w:hAnsi="Times New Roman" w:cs="Times New Roman"/>
                  <w:color w:val="6B6B6B"/>
                  <w:sz w:val="24"/>
                  <w:szCs w:val="24"/>
                </w:rPr>
                <w:t xml:space="preserve"> </w:t>
              </w:r>
              <w:proofErr w:type="spellStart"/>
              <w:r w:rsidRPr="000E01DF">
                <w:rPr>
                  <w:rFonts w:ascii="Times New Roman" w:eastAsia="Times New Roman" w:hAnsi="Times New Roman" w:cs="Times New Roman"/>
                  <w:color w:val="6B6B6B"/>
                  <w:sz w:val="24"/>
                  <w:szCs w:val="24"/>
                </w:rPr>
                <w:t>Fire</w:t>
              </w:r>
              <w:proofErr w:type="spellEnd"/>
              <w:r w:rsidRPr="000E01DF">
                <w:rPr>
                  <w:rFonts w:ascii="Times New Roman" w:eastAsia="Times New Roman" w:hAnsi="Times New Roman" w:cs="Times New Roman"/>
                  <w:color w:val="6B6B6B"/>
                  <w:sz w:val="24"/>
                  <w:szCs w:val="24"/>
                </w:rPr>
                <w:t xml:space="preserve"> </w:t>
              </w:r>
              <w:proofErr w:type="spellStart"/>
              <w:r w:rsidRPr="000E01DF">
                <w:rPr>
                  <w:rFonts w:ascii="Times New Roman" w:eastAsia="Times New Roman" w:hAnsi="Times New Roman" w:cs="Times New Roman"/>
                  <w:color w:val="6B6B6B"/>
                  <w:sz w:val="24"/>
                  <w:szCs w:val="24"/>
                </w:rPr>
                <w:t>Demon</w:t>
              </w:r>
              <w:proofErr w:type="spellEnd"/>
            </w:hyperlink>
          </w:p>
        </w:tc>
      </w:tr>
    </w:tbl>
    <w:p w:rsidR="000E01DF" w:rsidRPr="000E01DF" w:rsidRDefault="000E01DF" w:rsidP="000E01DF">
      <w:pPr>
        <w:spacing w:beforeAutospacing="1" w:after="100" w:afterAutospacing="1" w:line="240" w:lineRule="auto"/>
        <w:rPr>
          <w:rFonts w:ascii="Trebuchet MS" w:eastAsia="Times New Roman" w:hAnsi="Trebuchet MS" w:cs="Times New Roman"/>
          <w:color w:val="575757"/>
          <w:sz w:val="21"/>
          <w:szCs w:val="21"/>
          <w:shd w:val="clear" w:color="auto" w:fill="DDD6B9"/>
          <w:lang w:val="en-US"/>
        </w:rPr>
      </w:pPr>
      <w:proofErr w:type="spellStart"/>
      <w:r w:rsidRPr="000E01DF">
        <w:rPr>
          <w:rFonts w:ascii="Trebuchet MS" w:eastAsia="Times New Roman" w:hAnsi="Trebuchet MS" w:cs="Times New Roman"/>
          <w:i/>
          <w:iCs/>
          <w:color w:val="575757"/>
          <w:sz w:val="21"/>
          <w:szCs w:val="21"/>
          <w:shd w:val="clear" w:color="auto" w:fill="DDD6B9"/>
          <w:lang w:val="en-US"/>
        </w:rPr>
        <w:t>Sagard</w:t>
      </w:r>
      <w:proofErr w:type="spellEnd"/>
      <w:r w:rsidRPr="000E01DF">
        <w:rPr>
          <w:rFonts w:ascii="Trebuchet MS" w:eastAsia="Times New Roman" w:hAnsi="Trebuchet MS" w:cs="Times New Roman"/>
          <w:i/>
          <w:iCs/>
          <w:color w:val="575757"/>
          <w:sz w:val="21"/>
          <w:szCs w:val="21"/>
          <w:shd w:val="clear" w:color="auto" w:fill="DDD6B9"/>
          <w:lang w:val="en-US"/>
        </w:rPr>
        <w:t xml:space="preserve"> the Barbarian</w:t>
      </w:r>
      <w:r w:rsidRPr="000E01DF">
        <w:rPr>
          <w:rFonts w:ascii="Trebuchet MS" w:eastAsia="Times New Roman" w:hAnsi="Trebuchet MS" w:cs="Times New Roman"/>
          <w:color w:val="575757"/>
          <w:sz w:val="21"/>
          <w:szCs w:val="21"/>
          <w:shd w:val="clear" w:color="auto" w:fill="DDD6B9"/>
          <w:lang w:val="en-US"/>
        </w:rPr>
        <w:t xml:space="preserve"> is a good gamebook series that serves as an </w:t>
      </w:r>
      <w:r w:rsidRPr="000E01DF">
        <w:rPr>
          <w:rFonts w:ascii="Trebuchet MS" w:eastAsia="Times New Roman" w:hAnsi="Trebuchet MS" w:cs="Times New Roman"/>
          <w:color w:val="575757"/>
          <w:sz w:val="21"/>
          <w:szCs w:val="21"/>
          <w:highlight w:val="yellow"/>
          <w:shd w:val="clear" w:color="auto" w:fill="DDD6B9"/>
          <w:lang w:val="en-US"/>
        </w:rPr>
        <w:t>excellent introduction to anyone not familiar with gamebooks</w:t>
      </w:r>
      <w:r w:rsidRPr="000E01DF">
        <w:rPr>
          <w:rFonts w:ascii="Trebuchet MS" w:eastAsia="Times New Roman" w:hAnsi="Trebuchet MS" w:cs="Times New Roman"/>
          <w:color w:val="575757"/>
          <w:sz w:val="21"/>
          <w:szCs w:val="21"/>
          <w:shd w:val="clear" w:color="auto" w:fill="DDD6B9"/>
          <w:lang w:val="en-US"/>
        </w:rPr>
        <w:t xml:space="preserve"> or pen &amp; paper RPGs in general. From </w:t>
      </w:r>
      <w:proofErr w:type="spellStart"/>
      <w:r w:rsidRPr="000E01DF">
        <w:rPr>
          <w:rFonts w:ascii="Trebuchet MS" w:eastAsia="Times New Roman" w:hAnsi="Trebuchet MS" w:cs="Times New Roman"/>
          <w:color w:val="575757"/>
          <w:sz w:val="21"/>
          <w:szCs w:val="21"/>
          <w:shd w:val="clear" w:color="auto" w:fill="DDD6B9"/>
          <w:lang w:val="en-US"/>
        </w:rPr>
        <w:t>Demian</w:t>
      </w:r>
      <w:proofErr w:type="spellEnd"/>
      <w:r w:rsidRPr="000E01DF">
        <w:rPr>
          <w:rFonts w:ascii="Trebuchet MS" w:eastAsia="Times New Roman" w:hAnsi="Trebuchet MS" w:cs="Times New Roman"/>
          <w:color w:val="575757"/>
          <w:sz w:val="21"/>
          <w:szCs w:val="21"/>
          <w:shd w:val="clear" w:color="auto" w:fill="DDD6B9"/>
          <w:lang w:val="en-US"/>
        </w:rPr>
        <w:t xml:space="preserve"> Katz' </w:t>
      </w:r>
      <w:hyperlink r:id="rId12" w:history="1">
        <w:r w:rsidRPr="000E01DF">
          <w:rPr>
            <w:rFonts w:ascii="Trebuchet MS" w:eastAsia="Times New Roman" w:hAnsi="Trebuchet MS" w:cs="Times New Roman"/>
            <w:color w:val="6B6B6B"/>
            <w:sz w:val="21"/>
            <w:szCs w:val="21"/>
            <w:shd w:val="clear" w:color="auto" w:fill="DDD6B9"/>
            <w:lang w:val="en-US"/>
          </w:rPr>
          <w:t>overview</w:t>
        </w:r>
      </w:hyperlink>
      <w:r w:rsidRPr="000E01DF">
        <w:rPr>
          <w:rFonts w:ascii="Trebuchet MS" w:eastAsia="Times New Roman" w:hAnsi="Trebuchet MS" w:cs="Times New Roman"/>
          <w:color w:val="575757"/>
          <w:sz w:val="21"/>
          <w:szCs w:val="21"/>
          <w:shd w:val="clear" w:color="auto" w:fill="DDD6B9"/>
          <w:lang w:val="en-US"/>
        </w:rPr>
        <w:t xml:space="preserve">: "...this series of four books was released by Archway paperbacks in 1985 and 1986. The books were co-written by Gary </w:t>
      </w:r>
      <w:proofErr w:type="spellStart"/>
      <w:r w:rsidRPr="000E01DF">
        <w:rPr>
          <w:rFonts w:ascii="Trebuchet MS" w:eastAsia="Times New Roman" w:hAnsi="Trebuchet MS" w:cs="Times New Roman"/>
          <w:color w:val="575757"/>
          <w:sz w:val="21"/>
          <w:szCs w:val="21"/>
          <w:shd w:val="clear" w:color="auto" w:fill="DDD6B9"/>
          <w:lang w:val="en-US"/>
        </w:rPr>
        <w:t>Gygax</w:t>
      </w:r>
      <w:proofErr w:type="spellEnd"/>
      <w:r w:rsidRPr="000E01DF">
        <w:rPr>
          <w:rFonts w:ascii="Trebuchet MS" w:eastAsia="Times New Roman" w:hAnsi="Trebuchet MS" w:cs="Times New Roman"/>
          <w:color w:val="575757"/>
          <w:sz w:val="21"/>
          <w:szCs w:val="21"/>
          <w:shd w:val="clear" w:color="auto" w:fill="DDD6B9"/>
          <w:lang w:val="en-US"/>
        </w:rPr>
        <w:t>, one of the creators of </w:t>
      </w:r>
      <w:hyperlink r:id="rId13" w:history="1">
        <w:r w:rsidRPr="000E01DF">
          <w:rPr>
            <w:rFonts w:ascii="Trebuchet MS" w:eastAsia="Times New Roman" w:hAnsi="Trebuchet MS" w:cs="Times New Roman"/>
            <w:color w:val="6B6B6B"/>
            <w:sz w:val="21"/>
            <w:szCs w:val="21"/>
            <w:shd w:val="clear" w:color="auto" w:fill="DDD6B9"/>
            <w:lang w:val="en-US"/>
          </w:rPr>
          <w:t>Dungeons &amp; Dragons</w:t>
        </w:r>
      </w:hyperlink>
      <w:r w:rsidRPr="000E01DF">
        <w:rPr>
          <w:rFonts w:ascii="Trebuchet MS" w:eastAsia="Times New Roman" w:hAnsi="Trebuchet MS" w:cs="Times New Roman"/>
          <w:color w:val="575757"/>
          <w:sz w:val="21"/>
          <w:szCs w:val="21"/>
          <w:shd w:val="clear" w:color="auto" w:fill="DDD6B9"/>
          <w:lang w:val="en-US"/>
        </w:rPr>
        <w:t>, and they featured a rules system including hit points, experience points, inventory and combat. Randomization was achieved with a four-sided die or by flipping through the pages. As in the </w:t>
      </w:r>
      <w:r w:rsidRPr="000E01DF">
        <w:rPr>
          <w:rFonts w:ascii="Trebuchet MS" w:eastAsia="Times New Roman" w:hAnsi="Trebuchet MS" w:cs="Times New Roman"/>
          <w:b/>
          <w:bCs/>
          <w:color w:val="575757"/>
          <w:sz w:val="21"/>
          <w:szCs w:val="21"/>
          <w:shd w:val="clear" w:color="auto" w:fill="DDD6B9"/>
          <w:lang w:val="en-US"/>
        </w:rPr>
        <w:t>Lone Wolf</w:t>
      </w:r>
      <w:r w:rsidRPr="000E01DF">
        <w:rPr>
          <w:rFonts w:ascii="Trebuchet MS" w:eastAsia="Times New Roman" w:hAnsi="Trebuchet MS" w:cs="Times New Roman"/>
          <w:color w:val="575757"/>
          <w:sz w:val="21"/>
          <w:szCs w:val="21"/>
          <w:shd w:val="clear" w:color="auto" w:fill="DDD6B9"/>
          <w:lang w:val="en-US"/>
        </w:rPr>
        <w:t> books, character statistics were carried from book to book."</w:t>
      </w:r>
    </w:p>
    <w:p w:rsidR="000E01DF" w:rsidRPr="000E01DF" w:rsidRDefault="000E01DF" w:rsidP="000E01D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75757"/>
          <w:sz w:val="21"/>
          <w:szCs w:val="21"/>
          <w:shd w:val="clear" w:color="auto" w:fill="DDD6B9"/>
          <w:lang w:val="en-US"/>
        </w:rPr>
      </w:pPr>
      <w:r w:rsidRPr="000E01DF">
        <w:rPr>
          <w:rFonts w:ascii="Trebuchet MS" w:eastAsia="Times New Roman" w:hAnsi="Trebuchet MS" w:cs="Times New Roman"/>
          <w:color w:val="575757"/>
          <w:sz w:val="21"/>
          <w:szCs w:val="21"/>
          <w:shd w:val="clear" w:color="auto" w:fill="DDD6B9"/>
          <w:lang w:val="en-US"/>
        </w:rPr>
        <w:t xml:space="preserve">One thing I like about the series is that each book includes a neat non-RPG mini-game to add variety. These are typically short board games with specific rules you must follow. The books are also well-written - the authors </w:t>
      </w:r>
      <w:r w:rsidRPr="000E01DF">
        <w:rPr>
          <w:rFonts w:ascii="Trebuchet MS" w:eastAsia="Times New Roman" w:hAnsi="Trebuchet MS" w:cs="Times New Roman"/>
          <w:color w:val="575757"/>
          <w:sz w:val="21"/>
          <w:szCs w:val="21"/>
          <w:highlight w:val="yellow"/>
          <w:shd w:val="clear" w:color="auto" w:fill="DDD6B9"/>
          <w:lang w:val="en-US"/>
        </w:rPr>
        <w:t>make up for the low number of sections (120+ compared to 350+ for most other gamebooks</w:t>
      </w:r>
      <w:bookmarkStart w:id="1" w:name="_GoBack"/>
      <w:bookmarkEnd w:id="1"/>
      <w:r w:rsidRPr="000E01DF">
        <w:rPr>
          <w:rFonts w:ascii="Trebuchet MS" w:eastAsia="Times New Roman" w:hAnsi="Trebuchet MS" w:cs="Times New Roman"/>
          <w:color w:val="575757"/>
          <w:sz w:val="21"/>
          <w:szCs w:val="21"/>
          <w:shd w:val="clear" w:color="auto" w:fill="DDD6B9"/>
          <w:lang w:val="en-US"/>
        </w:rPr>
        <w:t>) by a detailed and atmospheric narrative. Although the prose is sometimes sophomoric and clichéd, with a big-muscled-barbarian-seduced-by-nubile-women kind of plot (which probably can only be expected to a certain extent, since this was targeted at male teenagers), this is still a fun series that should please every RPG/gamebook fan... except anyone who dislikes frequent dice-rolling.</w:t>
      </w:r>
    </w:p>
    <w:p w:rsidR="001F2621" w:rsidRPr="000E01DF" w:rsidRDefault="001F2621">
      <w:pPr>
        <w:rPr>
          <w:lang w:val="en-US"/>
        </w:rPr>
      </w:pPr>
    </w:p>
    <w:sectPr w:rsidR="001F2621" w:rsidRPr="000E01DF" w:rsidSect="000E01DF">
      <w:pgSz w:w="11906" w:h="16838"/>
      <w:pgMar w:top="568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F2"/>
    <w:rsid w:val="000E01DF"/>
    <w:rsid w:val="001F2621"/>
    <w:rsid w:val="002D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D9DEF-09FE-48CA-95A1-1ED92379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E01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E01D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vnculo">
    <w:name w:val="Hyperlink"/>
    <w:basedOn w:val="Fuentedeprrafopredeter"/>
    <w:uiPriority w:val="99"/>
    <w:semiHidden/>
    <w:unhideWhenUsed/>
    <w:rsid w:val="000E01D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E0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8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abandonia.com/extras/Gamebooks/Sagard%20the%20Barbarian/Sagard%20the%20Barbarian%203%20-%20The%20Crimson%20Sea.zip" TargetMode="External"/><Relationship Id="rId13" Type="http://schemas.openxmlformats.org/officeDocument/2006/relationships/hyperlink" Target="http://www.tsr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gamebooks.org/sagard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les.abandonia.com/extras/Gamebooks/Sagard%20the%20Barbarian/Sagard%20the%20Barbarian%202%20-%20The%20Green%20Hydra.zip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files.abandonia.com/extras/Gamebooks/Sagard%20the%20Barbarian/Sagard%20the%20Barbarian%204%20-%20The%20Fire%20Demon.zip" TargetMode="External"/><Relationship Id="rId4" Type="http://schemas.openxmlformats.org/officeDocument/2006/relationships/hyperlink" Target="http://files.abandonia.com/extras/Gamebooks/Sagard%20the%20Barbarian/Sagard%20the%20Barbarian%201%20-%20The%20Ice%20Dragon.zip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3</cp:revision>
  <dcterms:created xsi:type="dcterms:W3CDTF">2018-04-26T16:31:00Z</dcterms:created>
  <dcterms:modified xsi:type="dcterms:W3CDTF">2018-04-26T16:33:00Z</dcterms:modified>
</cp:coreProperties>
</file>